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941" w:rsidRDefault="00DE4941"/>
    <w:p w:rsidR="00DE4941" w:rsidRDefault="00DE4941"/>
    <w:p w:rsidR="00DE4941" w:rsidRDefault="00DE4941"/>
    <w:p w:rsidR="00DE4941" w:rsidRDefault="00DE4941"/>
    <w:p w:rsidR="00DE4941" w:rsidRDefault="00DE4941"/>
    <w:p w:rsidR="00DE4941" w:rsidRDefault="00DE4941"/>
    <w:p w:rsidR="00DE4941" w:rsidRDefault="00DE4941"/>
    <w:p w:rsidR="00DE4941" w:rsidRDefault="00DE4941"/>
    <w:p w:rsidR="00DE4941" w:rsidRDefault="00DE4941" w:rsidP="00DE4941">
      <w:pPr>
        <w:jc w:val="center"/>
      </w:pPr>
    </w:p>
    <w:p w:rsidR="00DE4941" w:rsidRDefault="00DE4941" w:rsidP="00DE4941">
      <w:pPr>
        <w:jc w:val="center"/>
      </w:pPr>
    </w:p>
    <w:p w:rsidR="00DE4941" w:rsidRDefault="00DE4941" w:rsidP="00DE4941">
      <w:pPr>
        <w:jc w:val="center"/>
      </w:pPr>
      <w:r>
        <w:t>Separation and Regulation of Power within the Three Branches of Government</w:t>
      </w:r>
    </w:p>
    <w:p w:rsidR="00DE4941" w:rsidRDefault="00DE4941" w:rsidP="00DE4941">
      <w:pPr>
        <w:jc w:val="center"/>
      </w:pPr>
      <w:r>
        <w:t>Name of Student</w:t>
      </w:r>
    </w:p>
    <w:p w:rsidR="00DE4941" w:rsidRDefault="00DE4941" w:rsidP="00DE4941">
      <w:pPr>
        <w:jc w:val="center"/>
      </w:pPr>
      <w:r>
        <w:t>Name of Institution</w:t>
      </w:r>
    </w:p>
    <w:p w:rsidR="00DE4941" w:rsidRDefault="00DE4941" w:rsidP="00DE4941">
      <w:pPr>
        <w:jc w:val="center"/>
      </w:pPr>
      <w:r>
        <w:t>Date</w:t>
      </w:r>
      <w:r>
        <w:br w:type="page"/>
      </w:r>
    </w:p>
    <w:p w:rsidR="007D739D" w:rsidRPr="007D739D" w:rsidRDefault="007D739D" w:rsidP="007D739D">
      <w:pPr>
        <w:jc w:val="center"/>
        <w:rPr>
          <w:b/>
        </w:rPr>
      </w:pPr>
      <w:r w:rsidRPr="007D739D">
        <w:rPr>
          <w:b/>
        </w:rPr>
        <w:lastRenderedPageBreak/>
        <w:t>Introduction</w:t>
      </w:r>
    </w:p>
    <w:p w:rsidR="007D739D" w:rsidRDefault="00CF0CF2">
      <w:r>
        <w:tab/>
        <w:t>The government defines the authority handed the capability of setting laws and directives for its society, grants assistance to civilians in understanding each other and relate to others, and ensures the smooth, secure and peaceful coordination and running of the society it is responsible for. The government of America is divided into three branches to separate the magnanimity of the powers of the government</w:t>
      </w:r>
      <w:r w:rsidR="007D739D">
        <w:t xml:space="preserve"> and create a balanced system of these powers in an effort to create uniformity in the mandates granted to each branch</w:t>
      </w:r>
      <w:r>
        <w:t xml:space="preserve">. </w:t>
      </w:r>
    </w:p>
    <w:p w:rsidR="007D739D" w:rsidRPr="007D739D" w:rsidRDefault="007D739D" w:rsidP="007D739D">
      <w:pPr>
        <w:jc w:val="center"/>
        <w:rPr>
          <w:b/>
        </w:rPr>
      </w:pPr>
      <w:r w:rsidRPr="007D739D">
        <w:rPr>
          <w:b/>
        </w:rPr>
        <w:t>Branches of the Government</w:t>
      </w:r>
    </w:p>
    <w:p w:rsidR="00011AA6" w:rsidRDefault="00CF0CF2" w:rsidP="007D739D">
      <w:pPr>
        <w:ind w:firstLine="720"/>
      </w:pPr>
      <w:r>
        <w:t>The three branches of the government are Executive, Legislative, and the J</w:t>
      </w:r>
      <w:r w:rsidR="00011AA6">
        <w:t>udiciary</w:t>
      </w:r>
      <w:r w:rsidR="00371164">
        <w:t>. The Legislative branch is mandated to draft proposed laws and is comprised of the House of Senate, the House of Representative and special agencies that provide support services to the congress. The Vice President is considered as the head of the Senate but only votes in the case of a tie. Executive branch carries out and enforces laws and comprises of the President, Vice President, the Cabinet, and most federal agencies mandated for the same obligations.</w:t>
      </w:r>
      <w:r w:rsidR="00011AA6">
        <w:t xml:space="preserve"> The Judiciary is charged with interpretation of the law as it pertain to the constitution and </w:t>
      </w:r>
      <w:r w:rsidR="000366DC">
        <w:t xml:space="preserve">application of its interpretations to legal controversies involving the law. Judiciary </w:t>
      </w:r>
      <w:r w:rsidR="00011AA6">
        <w:t>is constituted of the Supreme Court and other Federal Courts.</w:t>
      </w:r>
      <w:r w:rsidR="007D0E8C">
        <w:t xml:space="preserve"> The Supreme </w:t>
      </w:r>
      <w:r w:rsidR="00467F41">
        <w:t>Court</w:t>
      </w:r>
      <w:r w:rsidR="007D0E8C">
        <w:t xml:space="preserve"> is regarded as the highest court in the land chaired by 9 members; the Chief Justice and 8 associate Justices with a requirement of 6 to reach a quorum for a case to be heard</w:t>
      </w:r>
      <w:r w:rsidR="00DF6112">
        <w:t xml:space="preserve"> </w:t>
      </w:r>
      <w:sdt>
        <w:sdtPr>
          <w:id w:val="-741561208"/>
          <w:citation/>
        </w:sdtPr>
        <w:sdtEndPr/>
        <w:sdtContent>
          <w:r w:rsidR="00DF6112">
            <w:fldChar w:fldCharType="begin"/>
          </w:r>
          <w:r w:rsidR="00DF6112">
            <w:instrText xml:space="preserve"> CITATION Lon18 \l 1033 </w:instrText>
          </w:r>
          <w:r w:rsidR="00DF6112">
            <w:fldChar w:fldCharType="separate"/>
          </w:r>
          <w:r w:rsidR="003B7E0C">
            <w:rPr>
              <w:noProof/>
            </w:rPr>
            <w:t>(Longley, 2018)</w:t>
          </w:r>
          <w:r w:rsidR="00DF6112">
            <w:fldChar w:fldCharType="end"/>
          </w:r>
        </w:sdtContent>
      </w:sdt>
      <w:r w:rsidR="007D0E8C">
        <w:t xml:space="preserve">. </w:t>
      </w:r>
    </w:p>
    <w:p w:rsidR="007D739D" w:rsidRPr="007D739D" w:rsidRDefault="007D739D" w:rsidP="007D739D">
      <w:pPr>
        <w:ind w:firstLine="720"/>
        <w:jc w:val="center"/>
        <w:rPr>
          <w:b/>
        </w:rPr>
      </w:pPr>
      <w:r w:rsidRPr="007D739D">
        <w:rPr>
          <w:b/>
        </w:rPr>
        <w:t>Check and Balances</w:t>
      </w:r>
    </w:p>
    <w:p w:rsidR="00467F41" w:rsidRDefault="00011AA6">
      <w:r>
        <w:tab/>
      </w:r>
      <w:r w:rsidR="007101B5">
        <w:t>The Government enforces the concept of separation of powers through a system of checks and balances so as to limit the amount of power held through creation of balance of the authorities mandated by any single branch. Though the branches operate separa</w:t>
      </w:r>
      <w:r w:rsidR="000366DC">
        <w:t xml:space="preserve">tely and independently, these checks and balances were instituted as a system of making the branches have obligations to control themselves and keep other branches in check. The President can </w:t>
      </w:r>
      <w:r w:rsidR="000366DC">
        <w:lastRenderedPageBreak/>
        <w:t>veto a law passed by congress</w:t>
      </w:r>
      <w:r w:rsidR="007D739D">
        <w:t xml:space="preserve">, </w:t>
      </w:r>
      <w:r w:rsidR="000366DC">
        <w:t xml:space="preserve">proposes new laws to congress, and appoints federal officials as part of congress who make the laws. The Executive </w:t>
      </w:r>
      <w:r w:rsidR="007D0E8C">
        <w:t xml:space="preserve">has mandated the President </w:t>
      </w:r>
      <w:r w:rsidR="00DE4941">
        <w:t>Powers</w:t>
      </w:r>
      <w:r w:rsidR="007D0E8C">
        <w:t xml:space="preserve"> to </w:t>
      </w:r>
      <w:r w:rsidR="00467F41">
        <w:t>n</w:t>
      </w:r>
      <w:r w:rsidR="007D0E8C">
        <w:t xml:space="preserve">ominate judges to the Supreme Court, </w:t>
      </w:r>
      <w:r w:rsidR="00467F41">
        <w:t>and pardon persons convicted of crimes.</w:t>
      </w:r>
      <w:r w:rsidR="00644C91">
        <w:t xml:space="preserve"> President Obama commuted the sentence of U.S. Army private Dwight J. Loving from a death sentence to a life without parole after convicted for the murder of two taxi drivers</w:t>
      </w:r>
      <w:r w:rsidR="003B7E0C">
        <w:t xml:space="preserve"> </w:t>
      </w:r>
      <w:sdt>
        <w:sdtPr>
          <w:id w:val="-1089921658"/>
          <w:citation/>
        </w:sdtPr>
        <w:sdtEndPr/>
        <w:sdtContent>
          <w:r w:rsidR="003B7E0C">
            <w:fldChar w:fldCharType="begin"/>
          </w:r>
          <w:r w:rsidR="003B7E0C">
            <w:instrText xml:space="preserve"> CITATION Cro15 \l 1033 </w:instrText>
          </w:r>
          <w:r w:rsidR="003B7E0C">
            <w:fldChar w:fldCharType="separate"/>
          </w:r>
          <w:r w:rsidR="003B7E0C">
            <w:rPr>
              <w:noProof/>
            </w:rPr>
            <w:t>(Crouch, 2015)</w:t>
          </w:r>
          <w:r w:rsidR="003B7E0C">
            <w:fldChar w:fldCharType="end"/>
          </w:r>
        </w:sdtContent>
      </w:sdt>
      <w:r w:rsidR="00644C91">
        <w:t>.</w:t>
      </w:r>
      <w:r w:rsidR="00467F41">
        <w:t xml:space="preserve"> </w:t>
      </w:r>
    </w:p>
    <w:p w:rsidR="002030E8" w:rsidRDefault="00467F41" w:rsidP="00B11ABA">
      <w:pPr>
        <w:ind w:firstLine="720"/>
      </w:pPr>
      <w:r>
        <w:t>The Legislature keeps the executive in check by giving the Congress power to override presidential vetoes by 2/3 vote, Senate can reject proposed treaties and presidential nominations of federal judges and officials, and Congress can impeach a sitting President and remove him from power</w:t>
      </w:r>
      <w:r w:rsidR="002030E8">
        <w:t>.</w:t>
      </w:r>
      <w:r w:rsidR="00D02B21">
        <w:t xml:space="preserve"> </w:t>
      </w:r>
      <w:r w:rsidR="00CA7DA5">
        <w:t xml:space="preserve">Congress on the September 8 of 2016 overrode President Obama’s veto of legislation allowing 9/11 victim’s to sue the Saudi Arabian government </w:t>
      </w:r>
      <w:sdt>
        <w:sdtPr>
          <w:id w:val="-618762989"/>
          <w:citation/>
        </w:sdtPr>
        <w:sdtEndPr/>
        <w:sdtContent>
          <w:r w:rsidR="00CA7DA5">
            <w:fldChar w:fldCharType="begin"/>
          </w:r>
          <w:r w:rsidR="00CA7DA5">
            <w:instrText xml:space="preserve"> CITATION Bri14 \l 1033 </w:instrText>
          </w:r>
          <w:r w:rsidR="00CA7DA5">
            <w:fldChar w:fldCharType="separate"/>
          </w:r>
          <w:r w:rsidR="003B7E0C">
            <w:rPr>
              <w:noProof/>
            </w:rPr>
            <w:t>(Bridge, 2014)</w:t>
          </w:r>
          <w:r w:rsidR="00CA7DA5">
            <w:fldChar w:fldCharType="end"/>
          </w:r>
        </w:sdtContent>
      </w:sdt>
      <w:r w:rsidR="00CA7DA5">
        <w:t>.</w:t>
      </w:r>
      <w:r>
        <w:t xml:space="preserve"> The Legislative Branch also asserts checks and balances over the Judiciary</w:t>
      </w:r>
      <w:bookmarkStart w:id="0" w:name="_GoBack"/>
      <w:bookmarkEnd w:id="0"/>
      <w:r>
        <w:t xml:space="preserve"> through powers to: the Congress to create lower courts, the Congress to impeach judges of the lower federal courts, </w:t>
      </w:r>
      <w:r w:rsidR="00FA2283">
        <w:t>congress in amending the constitution and overturning decisions of the Supreme Court, and the Senate to reject nominees to the federal courts and the Supreme Court</w:t>
      </w:r>
      <w:r w:rsidR="00D02B21">
        <w:t xml:space="preserve"> the senate set a precedent changing the rules of Supreme Court confirmations by using motions and filibusters to ease the process for nominee Neil Gorsuch </w:t>
      </w:r>
      <w:sdt>
        <w:sdtPr>
          <w:id w:val="621352203"/>
          <w:citation/>
        </w:sdtPr>
        <w:sdtEndPr/>
        <w:sdtContent>
          <w:r w:rsidR="00D02B21">
            <w:fldChar w:fldCharType="begin"/>
          </w:r>
          <w:r w:rsidR="00D02B21">
            <w:instrText xml:space="preserve"> CITATION Van17 \l 1033 </w:instrText>
          </w:r>
          <w:r w:rsidR="00D02B21">
            <w:fldChar w:fldCharType="separate"/>
          </w:r>
          <w:r w:rsidR="003B7E0C">
            <w:rPr>
              <w:noProof/>
            </w:rPr>
            <w:t>(Vanoni, 2017)</w:t>
          </w:r>
          <w:r w:rsidR="00D02B21">
            <w:fldChar w:fldCharType="end"/>
          </w:r>
        </w:sdtContent>
      </w:sdt>
      <w:r w:rsidR="00FA2283">
        <w:t xml:space="preserve">. </w:t>
      </w:r>
    </w:p>
    <w:p w:rsidR="007D739D" w:rsidRDefault="00FA2283" w:rsidP="00B11ABA">
      <w:pPr>
        <w:ind w:firstLine="720"/>
      </w:pPr>
      <w:r>
        <w:t>The Judicial branch grants the Supreme Court the power through Judicial Review to rule laws passed by the Legislature as unconstitutional.</w:t>
      </w:r>
      <w:r w:rsidR="00864C0B">
        <w:t xml:space="preserve"> In the case of Hollingsworth v. Perry, the Supreme Court overturned the States ban on single sex marriage in California </w:t>
      </w:r>
      <w:sdt>
        <w:sdtPr>
          <w:id w:val="612714205"/>
          <w:citation/>
        </w:sdtPr>
        <w:sdtEndPr/>
        <w:sdtContent>
          <w:r w:rsidR="00864C0B">
            <w:fldChar w:fldCharType="begin"/>
          </w:r>
          <w:r w:rsidR="00864C0B">
            <w:instrText xml:space="preserve"> CITATION Hol13 \l 1033 </w:instrText>
          </w:r>
          <w:r w:rsidR="00864C0B">
            <w:fldChar w:fldCharType="separate"/>
          </w:r>
          <w:r w:rsidR="003B7E0C">
            <w:rPr>
              <w:noProof/>
            </w:rPr>
            <w:t>(Hollinsworth v. Perry, 2013)</w:t>
          </w:r>
          <w:r w:rsidR="00864C0B">
            <w:fldChar w:fldCharType="end"/>
          </w:r>
        </w:sdtContent>
      </w:sdt>
      <w:r w:rsidR="00864C0B">
        <w:t xml:space="preserve">. </w:t>
      </w:r>
      <w:r>
        <w:t xml:space="preserve"> The Judiciary also confirm over the Executive by using the power of Judicial review to rule that treaties and presidential actions as unconstitutional. </w:t>
      </w:r>
      <w:r w:rsidR="00D6285D">
        <w:t xml:space="preserve">The Supreme </w:t>
      </w:r>
      <w:r w:rsidR="00864C0B">
        <w:t>C</w:t>
      </w:r>
      <w:r w:rsidR="00D6285D">
        <w:t>ourt in the case of Bond v. United States ruled in favor of Bond in referring to the Congress exceeding its powers in passing a treaty</w:t>
      </w:r>
      <w:sdt>
        <w:sdtPr>
          <w:id w:val="-420026018"/>
          <w:citation/>
        </w:sdtPr>
        <w:sdtEndPr/>
        <w:sdtContent>
          <w:r w:rsidR="00D6285D">
            <w:fldChar w:fldCharType="begin"/>
          </w:r>
          <w:r w:rsidR="00D6285D">
            <w:instrText xml:space="preserve"> CITATION Bon14 \l 1033 </w:instrText>
          </w:r>
          <w:r w:rsidR="00D6285D">
            <w:fldChar w:fldCharType="separate"/>
          </w:r>
          <w:r w:rsidR="003B7E0C">
            <w:rPr>
              <w:noProof/>
            </w:rPr>
            <w:t xml:space="preserve"> (Bond v. US, 2014)</w:t>
          </w:r>
          <w:r w:rsidR="00D6285D">
            <w:fldChar w:fldCharType="end"/>
          </w:r>
        </w:sdtContent>
      </w:sdt>
      <w:r w:rsidR="00D6285D">
        <w:t>.</w:t>
      </w:r>
    </w:p>
    <w:p w:rsidR="007D739D" w:rsidRPr="007D739D" w:rsidRDefault="007D739D" w:rsidP="007D739D">
      <w:pPr>
        <w:ind w:firstLine="720"/>
        <w:jc w:val="center"/>
        <w:rPr>
          <w:b/>
        </w:rPr>
      </w:pPr>
      <w:r w:rsidRPr="007D739D">
        <w:rPr>
          <w:b/>
        </w:rPr>
        <w:t>Equal Powers</w:t>
      </w:r>
    </w:p>
    <w:p w:rsidR="00B11ABA" w:rsidRDefault="00D6285D" w:rsidP="00B11ABA">
      <w:pPr>
        <w:ind w:firstLine="720"/>
      </w:pPr>
      <w:r>
        <w:lastRenderedPageBreak/>
        <w:t>The purpose of the Branches of the Government was to separate the powers but equality of the powers of all the branches has not yet been reached</w:t>
      </w:r>
      <w:r w:rsidR="002030E8">
        <w:t xml:space="preserve"> with the Legislature serving as the most powerful branch</w:t>
      </w:r>
      <w:r>
        <w:t xml:space="preserve">. </w:t>
      </w:r>
      <w:r w:rsidR="00B11ABA">
        <w:t xml:space="preserve">This is visible by the Elastic Clause. The case of McCulloch v. Maryland, where the Chief Justice ruled in favor of the </w:t>
      </w:r>
      <w:r w:rsidR="00DF6112">
        <w:t xml:space="preserve">Congress stating that the state had no business taxing federal government entities is a great representation of the Elastic Clause </w:t>
      </w:r>
      <w:sdt>
        <w:sdtPr>
          <w:id w:val="2136517171"/>
          <w:citation/>
        </w:sdtPr>
        <w:sdtEndPr/>
        <w:sdtContent>
          <w:r w:rsidR="00DF6112">
            <w:fldChar w:fldCharType="begin"/>
          </w:r>
          <w:r w:rsidR="00DF6112">
            <w:instrText xml:space="preserve"> CITATION Sim13 \l 1033 </w:instrText>
          </w:r>
          <w:r w:rsidR="00DF6112">
            <w:fldChar w:fldCharType="separate"/>
          </w:r>
          <w:r w:rsidR="003B7E0C">
            <w:rPr>
              <w:noProof/>
            </w:rPr>
            <w:t>(Simpson, 2013)</w:t>
          </w:r>
          <w:r w:rsidR="00DF6112">
            <w:fldChar w:fldCharType="end"/>
          </w:r>
        </w:sdtContent>
      </w:sdt>
      <w:r w:rsidR="00864C0B">
        <w:t>.</w:t>
      </w:r>
    </w:p>
    <w:p w:rsidR="007D739D" w:rsidRPr="007D739D" w:rsidRDefault="007D739D" w:rsidP="007D739D">
      <w:pPr>
        <w:jc w:val="center"/>
        <w:rPr>
          <w:b/>
        </w:rPr>
      </w:pPr>
      <w:r w:rsidRPr="007D739D">
        <w:rPr>
          <w:b/>
        </w:rPr>
        <w:t>Conclusion</w:t>
      </w:r>
    </w:p>
    <w:p w:rsidR="00DE4941" w:rsidRDefault="007D739D">
      <w:r>
        <w:tab/>
        <w:t>The founding fathers in their bid to create a government that is checked by its subsidiary was successful, and they also illustrate magnificence when they created an elastic constitution. Equality in the branches however remains an unaccomplished desire.</w:t>
      </w:r>
      <w:r w:rsidR="00DE4941">
        <w:br w:type="page"/>
      </w:r>
    </w:p>
    <w:sdt>
      <w:sdtPr>
        <w:rPr>
          <w:rFonts w:ascii="Times New Roman" w:eastAsiaTheme="minorHAnsi" w:hAnsi="Times New Roman" w:cs="Times New Roman"/>
          <w:color w:val="auto"/>
          <w:sz w:val="24"/>
          <w:szCs w:val="24"/>
        </w:rPr>
        <w:id w:val="-1603790717"/>
        <w:docPartObj>
          <w:docPartGallery w:val="Bibliographies"/>
          <w:docPartUnique/>
        </w:docPartObj>
      </w:sdtPr>
      <w:sdtEndPr>
        <w:rPr>
          <w:rFonts w:cstheme="minorBidi"/>
          <w:szCs w:val="22"/>
        </w:rPr>
      </w:sdtEndPr>
      <w:sdtContent>
        <w:p w:rsidR="00DE4941" w:rsidRPr="00DE4941" w:rsidRDefault="00DE4941" w:rsidP="00DE4941">
          <w:pPr>
            <w:pStyle w:val="Heading1"/>
            <w:jc w:val="center"/>
            <w:rPr>
              <w:rFonts w:ascii="Times New Roman" w:hAnsi="Times New Roman" w:cs="Times New Roman"/>
              <w:color w:val="auto"/>
              <w:sz w:val="24"/>
              <w:szCs w:val="24"/>
            </w:rPr>
          </w:pPr>
          <w:r w:rsidRPr="00DE4941">
            <w:rPr>
              <w:rFonts w:ascii="Times New Roman" w:hAnsi="Times New Roman" w:cs="Times New Roman"/>
              <w:color w:val="auto"/>
              <w:sz w:val="24"/>
              <w:szCs w:val="24"/>
            </w:rPr>
            <w:t>References</w:t>
          </w:r>
        </w:p>
        <w:sdt>
          <w:sdtPr>
            <w:id w:val="-573587230"/>
            <w:bibliography/>
          </w:sdtPr>
          <w:sdtEndPr/>
          <w:sdtContent>
            <w:p w:rsidR="003B7E0C" w:rsidRDefault="00DE4941" w:rsidP="003B7E0C">
              <w:pPr>
                <w:pStyle w:val="Bibliography"/>
                <w:ind w:left="720" w:hanging="720"/>
                <w:rPr>
                  <w:noProof/>
                  <w:szCs w:val="24"/>
                </w:rPr>
              </w:pPr>
              <w:r>
                <w:fldChar w:fldCharType="begin"/>
              </w:r>
              <w:r>
                <w:instrText xml:space="preserve"> BIBLIOGRAPHY </w:instrText>
              </w:r>
              <w:r>
                <w:fldChar w:fldCharType="separate"/>
              </w:r>
              <w:r w:rsidR="003B7E0C">
                <w:rPr>
                  <w:noProof/>
                </w:rPr>
                <w:t>Bond v. US, no. 12-158 (Supreme Court June 2, 2014).</w:t>
              </w:r>
            </w:p>
            <w:p w:rsidR="003B7E0C" w:rsidRDefault="003B7E0C" w:rsidP="003B7E0C">
              <w:pPr>
                <w:pStyle w:val="Bibliography"/>
                <w:ind w:left="720" w:hanging="720"/>
                <w:rPr>
                  <w:noProof/>
                </w:rPr>
              </w:pPr>
              <w:r>
                <w:rPr>
                  <w:noProof/>
                </w:rPr>
                <w:t xml:space="preserve">Bridge, D. (2014). </w:t>
              </w:r>
              <w:r>
                <w:rPr>
                  <w:i/>
                  <w:iCs/>
                  <w:noProof/>
                </w:rPr>
                <w:t>Presidential Power Denied: A New Model of Veto Overrides Using Political Time. In congress and the Presidency.</w:t>
              </w:r>
              <w:r>
                <w:rPr>
                  <w:noProof/>
                </w:rPr>
                <w:t xml:space="preserve"> Abingdon-on-Thames: Routledge.</w:t>
              </w:r>
            </w:p>
            <w:p w:rsidR="003B7E0C" w:rsidRDefault="003B7E0C" w:rsidP="003B7E0C">
              <w:pPr>
                <w:pStyle w:val="Bibliography"/>
                <w:ind w:left="720" w:hanging="720"/>
                <w:rPr>
                  <w:noProof/>
                </w:rPr>
              </w:pPr>
              <w:r>
                <w:rPr>
                  <w:noProof/>
                </w:rPr>
                <w:t xml:space="preserve">Crouch, J. (2015). Presidential Power Denied: A New Model of Veto Overrides Using Political Time. </w:t>
              </w:r>
              <w:r>
                <w:rPr>
                  <w:i/>
                  <w:iCs/>
                  <w:noProof/>
                </w:rPr>
                <w:t>Presidential Studies Quaterly</w:t>
              </w:r>
              <w:r>
                <w:rPr>
                  <w:noProof/>
                </w:rPr>
                <w:t>, 778-795.</w:t>
              </w:r>
            </w:p>
            <w:p w:rsidR="003B7E0C" w:rsidRDefault="003B7E0C" w:rsidP="003B7E0C">
              <w:pPr>
                <w:pStyle w:val="Bibliography"/>
                <w:ind w:left="720" w:hanging="720"/>
                <w:rPr>
                  <w:noProof/>
                </w:rPr>
              </w:pPr>
              <w:r>
                <w:rPr>
                  <w:noProof/>
                </w:rPr>
                <w:t>Hollinsworth v. Perry, No. 12-144 (Supreme Court June 6, 2013).</w:t>
              </w:r>
            </w:p>
            <w:p w:rsidR="003B7E0C" w:rsidRDefault="003B7E0C" w:rsidP="003B7E0C">
              <w:pPr>
                <w:pStyle w:val="Bibliography"/>
                <w:ind w:left="720" w:hanging="720"/>
                <w:rPr>
                  <w:noProof/>
                </w:rPr>
              </w:pPr>
              <w:r>
                <w:rPr>
                  <w:noProof/>
                </w:rPr>
                <w:t xml:space="preserve">Longley, R. (2018, June 14). </w:t>
              </w:r>
              <w:r>
                <w:rPr>
                  <w:i/>
                  <w:iCs/>
                  <w:noProof/>
                </w:rPr>
                <w:t>Separation of Powers: A System of Checks and Balances</w:t>
              </w:r>
              <w:r>
                <w:rPr>
                  <w:noProof/>
                </w:rPr>
                <w:t>. Retrieved from ThoughCo.: https://www.thoughtco.com/separation-of-powers-3322394</w:t>
              </w:r>
            </w:p>
            <w:p w:rsidR="003B7E0C" w:rsidRDefault="003B7E0C" w:rsidP="003B7E0C">
              <w:pPr>
                <w:pStyle w:val="Bibliography"/>
                <w:ind w:left="720" w:hanging="720"/>
                <w:rPr>
                  <w:noProof/>
                </w:rPr>
              </w:pPr>
              <w:r>
                <w:rPr>
                  <w:noProof/>
                </w:rPr>
                <w:t xml:space="preserve">Simpson, K. (2013). The Proper Meaning of Proper: Why the Regulation of Intrastate, Non-Commercial Species under the Endangered Species Act Is an Invalid Exercise of the Commerce Clause. </w:t>
              </w:r>
              <w:r>
                <w:rPr>
                  <w:i/>
                  <w:iCs/>
                  <w:noProof/>
                </w:rPr>
                <w:t>Washington University Law Review</w:t>
              </w:r>
              <w:r>
                <w:rPr>
                  <w:noProof/>
                </w:rPr>
                <w:t>, 169.</w:t>
              </w:r>
            </w:p>
            <w:p w:rsidR="003B7E0C" w:rsidRDefault="003B7E0C" w:rsidP="003B7E0C">
              <w:pPr>
                <w:pStyle w:val="Bibliography"/>
                <w:ind w:left="720" w:hanging="720"/>
                <w:rPr>
                  <w:noProof/>
                </w:rPr>
              </w:pPr>
              <w:r>
                <w:rPr>
                  <w:noProof/>
                </w:rPr>
                <w:t xml:space="preserve">Vanoni, L. P. (2017). The Appointment clause between politics and law: the American case. </w:t>
              </w:r>
              <w:r>
                <w:rPr>
                  <w:i/>
                  <w:iCs/>
                  <w:noProof/>
                </w:rPr>
                <w:t>Diritto pubblico comparato ed europeo 19</w:t>
              </w:r>
              <w:r>
                <w:rPr>
                  <w:noProof/>
                </w:rPr>
                <w:t>, 833-866.</w:t>
              </w:r>
            </w:p>
            <w:p w:rsidR="00DE4941" w:rsidRDefault="00DE4941" w:rsidP="003B7E0C">
              <w:r>
                <w:rPr>
                  <w:b/>
                  <w:bCs/>
                  <w:noProof/>
                </w:rPr>
                <w:fldChar w:fldCharType="end"/>
              </w:r>
            </w:p>
          </w:sdtContent>
        </w:sdt>
      </w:sdtContent>
    </w:sdt>
    <w:p w:rsidR="00DE4941" w:rsidRDefault="00DE4941" w:rsidP="00B11ABA">
      <w:pPr>
        <w:ind w:firstLine="720"/>
      </w:pPr>
    </w:p>
    <w:sectPr w:rsidR="00DE4941" w:rsidSect="00DE4941">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A9D" w:rsidRDefault="00511A9D" w:rsidP="00DE4941">
      <w:pPr>
        <w:spacing w:line="240" w:lineRule="auto"/>
      </w:pPr>
      <w:r>
        <w:separator/>
      </w:r>
    </w:p>
  </w:endnote>
  <w:endnote w:type="continuationSeparator" w:id="0">
    <w:p w:rsidR="00511A9D" w:rsidRDefault="00511A9D" w:rsidP="00DE49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A9D" w:rsidRDefault="00511A9D" w:rsidP="00DE4941">
      <w:pPr>
        <w:spacing w:line="240" w:lineRule="auto"/>
      </w:pPr>
      <w:r>
        <w:separator/>
      </w:r>
    </w:p>
  </w:footnote>
  <w:footnote w:type="continuationSeparator" w:id="0">
    <w:p w:rsidR="00511A9D" w:rsidRDefault="00511A9D" w:rsidP="00DE49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4941" w:rsidRDefault="00DE4941">
    <w:pPr>
      <w:pStyle w:val="Header"/>
      <w:jc w:val="right"/>
    </w:pPr>
    <w:r>
      <w:t xml:space="preserve">BRANCHES OF THE GOVERNMENT </w:t>
    </w:r>
    <w:r>
      <w:tab/>
    </w:r>
    <w:r>
      <w:tab/>
    </w:r>
    <w:sdt>
      <w:sdtPr>
        <w:id w:val="8701953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30E8">
          <w:rPr>
            <w:noProof/>
          </w:rPr>
          <w:t>5</w:t>
        </w:r>
        <w:r>
          <w:rPr>
            <w:noProof/>
          </w:rPr>
          <w:fldChar w:fldCharType="end"/>
        </w:r>
      </w:sdtContent>
    </w:sdt>
  </w:p>
  <w:p w:rsidR="00DE4941" w:rsidRDefault="00DE49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4941" w:rsidRDefault="00DE4941">
    <w:pPr>
      <w:pStyle w:val="Header"/>
      <w:jc w:val="right"/>
    </w:pPr>
    <w:r>
      <w:t>Running Head: BRANCHES OF THE GOVERNMENT</w:t>
    </w:r>
    <w:r>
      <w:tab/>
    </w:r>
    <w:sdt>
      <w:sdtPr>
        <w:id w:val="1796265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D739D">
          <w:rPr>
            <w:noProof/>
          </w:rPr>
          <w:t>1</w:t>
        </w:r>
        <w:r>
          <w:rPr>
            <w:noProof/>
          </w:rPr>
          <w:fldChar w:fldCharType="end"/>
        </w:r>
      </w:sdtContent>
    </w:sdt>
  </w:p>
  <w:p w:rsidR="00DE4941" w:rsidRDefault="00DE49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28C"/>
    <w:rsid w:val="00011AA6"/>
    <w:rsid w:val="000366DC"/>
    <w:rsid w:val="001226A1"/>
    <w:rsid w:val="0015028C"/>
    <w:rsid w:val="00200549"/>
    <w:rsid w:val="002030E8"/>
    <w:rsid w:val="002B0414"/>
    <w:rsid w:val="00371164"/>
    <w:rsid w:val="003B7E0C"/>
    <w:rsid w:val="003C63C1"/>
    <w:rsid w:val="00467F41"/>
    <w:rsid w:val="00511A9D"/>
    <w:rsid w:val="00513017"/>
    <w:rsid w:val="00644C91"/>
    <w:rsid w:val="00663F22"/>
    <w:rsid w:val="007101B5"/>
    <w:rsid w:val="00765792"/>
    <w:rsid w:val="007B5E3F"/>
    <w:rsid w:val="007D0E8C"/>
    <w:rsid w:val="007D739D"/>
    <w:rsid w:val="00864C0B"/>
    <w:rsid w:val="00956BE3"/>
    <w:rsid w:val="00B11ABA"/>
    <w:rsid w:val="00CA7DA5"/>
    <w:rsid w:val="00CF0CF2"/>
    <w:rsid w:val="00D02B21"/>
    <w:rsid w:val="00D6285D"/>
    <w:rsid w:val="00DE4941"/>
    <w:rsid w:val="00DF6112"/>
    <w:rsid w:val="00E42528"/>
    <w:rsid w:val="00FA2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7181CD-2EAA-4A03-AB10-4E8963BF7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E4941"/>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941"/>
    <w:pPr>
      <w:tabs>
        <w:tab w:val="center" w:pos="4680"/>
        <w:tab w:val="right" w:pos="9360"/>
      </w:tabs>
      <w:spacing w:line="240" w:lineRule="auto"/>
    </w:pPr>
  </w:style>
  <w:style w:type="character" w:customStyle="1" w:styleId="HeaderChar">
    <w:name w:val="Header Char"/>
    <w:basedOn w:val="DefaultParagraphFont"/>
    <w:link w:val="Header"/>
    <w:uiPriority w:val="99"/>
    <w:rsid w:val="00DE4941"/>
  </w:style>
  <w:style w:type="paragraph" w:styleId="Footer">
    <w:name w:val="footer"/>
    <w:basedOn w:val="Normal"/>
    <w:link w:val="FooterChar"/>
    <w:uiPriority w:val="99"/>
    <w:unhideWhenUsed/>
    <w:rsid w:val="00DE4941"/>
    <w:pPr>
      <w:tabs>
        <w:tab w:val="center" w:pos="4680"/>
        <w:tab w:val="right" w:pos="9360"/>
      </w:tabs>
      <w:spacing w:line="240" w:lineRule="auto"/>
    </w:pPr>
  </w:style>
  <w:style w:type="character" w:customStyle="1" w:styleId="FooterChar">
    <w:name w:val="Footer Char"/>
    <w:basedOn w:val="DefaultParagraphFont"/>
    <w:link w:val="Footer"/>
    <w:uiPriority w:val="99"/>
    <w:rsid w:val="00DE4941"/>
  </w:style>
  <w:style w:type="character" w:customStyle="1" w:styleId="Heading1Char">
    <w:name w:val="Heading 1 Char"/>
    <w:basedOn w:val="DefaultParagraphFont"/>
    <w:link w:val="Heading1"/>
    <w:uiPriority w:val="9"/>
    <w:rsid w:val="00DE494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E4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65200">
      <w:bodyDiv w:val="1"/>
      <w:marLeft w:val="0"/>
      <w:marRight w:val="0"/>
      <w:marTop w:val="0"/>
      <w:marBottom w:val="0"/>
      <w:divBdr>
        <w:top w:val="none" w:sz="0" w:space="0" w:color="auto"/>
        <w:left w:val="none" w:sz="0" w:space="0" w:color="auto"/>
        <w:bottom w:val="none" w:sz="0" w:space="0" w:color="auto"/>
        <w:right w:val="none" w:sz="0" w:space="0" w:color="auto"/>
      </w:divBdr>
    </w:div>
    <w:div w:id="430396700">
      <w:bodyDiv w:val="1"/>
      <w:marLeft w:val="0"/>
      <w:marRight w:val="0"/>
      <w:marTop w:val="0"/>
      <w:marBottom w:val="0"/>
      <w:divBdr>
        <w:top w:val="none" w:sz="0" w:space="0" w:color="auto"/>
        <w:left w:val="none" w:sz="0" w:space="0" w:color="auto"/>
        <w:bottom w:val="none" w:sz="0" w:space="0" w:color="auto"/>
        <w:right w:val="none" w:sz="0" w:space="0" w:color="auto"/>
      </w:divBdr>
    </w:div>
    <w:div w:id="448936129">
      <w:bodyDiv w:val="1"/>
      <w:marLeft w:val="0"/>
      <w:marRight w:val="0"/>
      <w:marTop w:val="0"/>
      <w:marBottom w:val="0"/>
      <w:divBdr>
        <w:top w:val="none" w:sz="0" w:space="0" w:color="auto"/>
        <w:left w:val="none" w:sz="0" w:space="0" w:color="auto"/>
        <w:bottom w:val="none" w:sz="0" w:space="0" w:color="auto"/>
        <w:right w:val="none" w:sz="0" w:space="0" w:color="auto"/>
      </w:divBdr>
    </w:div>
    <w:div w:id="598873615">
      <w:bodyDiv w:val="1"/>
      <w:marLeft w:val="0"/>
      <w:marRight w:val="0"/>
      <w:marTop w:val="0"/>
      <w:marBottom w:val="0"/>
      <w:divBdr>
        <w:top w:val="none" w:sz="0" w:space="0" w:color="auto"/>
        <w:left w:val="none" w:sz="0" w:space="0" w:color="auto"/>
        <w:bottom w:val="none" w:sz="0" w:space="0" w:color="auto"/>
        <w:right w:val="none" w:sz="0" w:space="0" w:color="auto"/>
      </w:divBdr>
    </w:div>
    <w:div w:id="776679985">
      <w:bodyDiv w:val="1"/>
      <w:marLeft w:val="0"/>
      <w:marRight w:val="0"/>
      <w:marTop w:val="0"/>
      <w:marBottom w:val="0"/>
      <w:divBdr>
        <w:top w:val="none" w:sz="0" w:space="0" w:color="auto"/>
        <w:left w:val="none" w:sz="0" w:space="0" w:color="auto"/>
        <w:bottom w:val="none" w:sz="0" w:space="0" w:color="auto"/>
        <w:right w:val="none" w:sz="0" w:space="0" w:color="auto"/>
      </w:divBdr>
    </w:div>
    <w:div w:id="976573351">
      <w:bodyDiv w:val="1"/>
      <w:marLeft w:val="0"/>
      <w:marRight w:val="0"/>
      <w:marTop w:val="0"/>
      <w:marBottom w:val="0"/>
      <w:divBdr>
        <w:top w:val="none" w:sz="0" w:space="0" w:color="auto"/>
        <w:left w:val="none" w:sz="0" w:space="0" w:color="auto"/>
        <w:bottom w:val="none" w:sz="0" w:space="0" w:color="auto"/>
        <w:right w:val="none" w:sz="0" w:space="0" w:color="auto"/>
      </w:divBdr>
    </w:div>
    <w:div w:id="1345480198">
      <w:bodyDiv w:val="1"/>
      <w:marLeft w:val="0"/>
      <w:marRight w:val="0"/>
      <w:marTop w:val="0"/>
      <w:marBottom w:val="0"/>
      <w:divBdr>
        <w:top w:val="none" w:sz="0" w:space="0" w:color="auto"/>
        <w:left w:val="none" w:sz="0" w:space="0" w:color="auto"/>
        <w:bottom w:val="none" w:sz="0" w:space="0" w:color="auto"/>
        <w:right w:val="none" w:sz="0" w:space="0" w:color="auto"/>
      </w:divBdr>
    </w:div>
    <w:div w:id="1354962421">
      <w:bodyDiv w:val="1"/>
      <w:marLeft w:val="0"/>
      <w:marRight w:val="0"/>
      <w:marTop w:val="0"/>
      <w:marBottom w:val="0"/>
      <w:divBdr>
        <w:top w:val="none" w:sz="0" w:space="0" w:color="auto"/>
        <w:left w:val="none" w:sz="0" w:space="0" w:color="auto"/>
        <w:bottom w:val="none" w:sz="0" w:space="0" w:color="auto"/>
        <w:right w:val="none" w:sz="0" w:space="0" w:color="auto"/>
      </w:divBdr>
    </w:div>
    <w:div w:id="1371301566">
      <w:bodyDiv w:val="1"/>
      <w:marLeft w:val="0"/>
      <w:marRight w:val="0"/>
      <w:marTop w:val="0"/>
      <w:marBottom w:val="0"/>
      <w:divBdr>
        <w:top w:val="none" w:sz="0" w:space="0" w:color="auto"/>
        <w:left w:val="none" w:sz="0" w:space="0" w:color="auto"/>
        <w:bottom w:val="none" w:sz="0" w:space="0" w:color="auto"/>
        <w:right w:val="none" w:sz="0" w:space="0" w:color="auto"/>
      </w:divBdr>
    </w:div>
    <w:div w:id="1422868073">
      <w:bodyDiv w:val="1"/>
      <w:marLeft w:val="0"/>
      <w:marRight w:val="0"/>
      <w:marTop w:val="0"/>
      <w:marBottom w:val="0"/>
      <w:divBdr>
        <w:top w:val="none" w:sz="0" w:space="0" w:color="auto"/>
        <w:left w:val="none" w:sz="0" w:space="0" w:color="auto"/>
        <w:bottom w:val="none" w:sz="0" w:space="0" w:color="auto"/>
        <w:right w:val="none" w:sz="0" w:space="0" w:color="auto"/>
      </w:divBdr>
    </w:div>
    <w:div w:id="1650866249">
      <w:bodyDiv w:val="1"/>
      <w:marLeft w:val="0"/>
      <w:marRight w:val="0"/>
      <w:marTop w:val="0"/>
      <w:marBottom w:val="0"/>
      <w:divBdr>
        <w:top w:val="none" w:sz="0" w:space="0" w:color="auto"/>
        <w:left w:val="none" w:sz="0" w:space="0" w:color="auto"/>
        <w:bottom w:val="none" w:sz="0" w:space="0" w:color="auto"/>
        <w:right w:val="none" w:sz="0" w:space="0" w:color="auto"/>
      </w:divBdr>
    </w:div>
    <w:div w:id="1654409037">
      <w:bodyDiv w:val="1"/>
      <w:marLeft w:val="0"/>
      <w:marRight w:val="0"/>
      <w:marTop w:val="0"/>
      <w:marBottom w:val="0"/>
      <w:divBdr>
        <w:top w:val="none" w:sz="0" w:space="0" w:color="auto"/>
        <w:left w:val="none" w:sz="0" w:space="0" w:color="auto"/>
        <w:bottom w:val="none" w:sz="0" w:space="0" w:color="auto"/>
        <w:right w:val="none" w:sz="0" w:space="0" w:color="auto"/>
      </w:divBdr>
    </w:div>
    <w:div w:id="1744256653">
      <w:bodyDiv w:val="1"/>
      <w:marLeft w:val="0"/>
      <w:marRight w:val="0"/>
      <w:marTop w:val="0"/>
      <w:marBottom w:val="0"/>
      <w:divBdr>
        <w:top w:val="none" w:sz="0" w:space="0" w:color="auto"/>
        <w:left w:val="none" w:sz="0" w:space="0" w:color="auto"/>
        <w:bottom w:val="none" w:sz="0" w:space="0" w:color="auto"/>
        <w:right w:val="none" w:sz="0" w:space="0" w:color="auto"/>
      </w:divBdr>
    </w:div>
    <w:div w:id="1807579099">
      <w:bodyDiv w:val="1"/>
      <w:marLeft w:val="0"/>
      <w:marRight w:val="0"/>
      <w:marTop w:val="0"/>
      <w:marBottom w:val="0"/>
      <w:divBdr>
        <w:top w:val="none" w:sz="0" w:space="0" w:color="auto"/>
        <w:left w:val="none" w:sz="0" w:space="0" w:color="auto"/>
        <w:bottom w:val="none" w:sz="0" w:space="0" w:color="auto"/>
        <w:right w:val="none" w:sz="0" w:space="0" w:color="auto"/>
      </w:divBdr>
    </w:div>
    <w:div w:id="1979215593">
      <w:bodyDiv w:val="1"/>
      <w:marLeft w:val="0"/>
      <w:marRight w:val="0"/>
      <w:marTop w:val="0"/>
      <w:marBottom w:val="0"/>
      <w:divBdr>
        <w:top w:val="none" w:sz="0" w:space="0" w:color="auto"/>
        <w:left w:val="none" w:sz="0" w:space="0" w:color="auto"/>
        <w:bottom w:val="none" w:sz="0" w:space="0" w:color="auto"/>
        <w:right w:val="none" w:sz="0" w:space="0" w:color="auto"/>
      </w:divBdr>
    </w:div>
    <w:div w:id="205804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Bon14</b:Tag>
    <b:SourceType>Case</b:SourceType>
    <b:Guid>{9BB97CA8-3100-4350-A908-0F272A6479C2}</b:Guid>
    <b:Title>Bond v. US</b:Title>
    <b:Year>2014</b:Year>
    <b:CaseNumber>no. 12-158</b:CaseNumber>
    <b:Court>Supreme Court</b:Court>
    <b:Month>June</b:Month>
    <b:Day>2</b:Day>
    <b:RefOrder>6</b:RefOrder>
  </b:Source>
  <b:Source>
    <b:Tag>Lon18</b:Tag>
    <b:SourceType>InternetSite</b:SourceType>
    <b:Guid>{64639AC6-AF4A-4327-BD21-073EEACAFFDE}</b:Guid>
    <b:Title>Separation of Powers: A System of Checks and Balances</b:Title>
    <b:Year>2018</b:Year>
    <b:InternetSiteTitle>ThoughCo.</b:InternetSiteTitle>
    <b:Month>June</b:Month>
    <b:Day>14</b:Day>
    <b:URL>https://www.thoughtco.com/separation-of-powers-3322394</b:URL>
    <b:Author>
      <b:Author>
        <b:NameList>
          <b:Person>
            <b:Last>Longley</b:Last>
            <b:First>Robert</b:First>
          </b:Person>
        </b:NameList>
      </b:Author>
    </b:Author>
    <b:RefOrder>1</b:RefOrder>
  </b:Source>
  <b:Source>
    <b:Tag>Sim13</b:Tag>
    <b:SourceType>JournalArticle</b:SourceType>
    <b:Guid>{0E7D40F4-6A38-4CEA-9A0D-F6AE4CC1319D}</b:Guid>
    <b:Title>The Proper Meaning of Proper: Why the Regulation of Intrastate, Non-Commercial Species under the Endangered Species Act Is an Invalid Exercise of the Commerce Clause</b:Title>
    <b:Year>2013</b:Year>
    <b:JournalName>Washington University Law Review</b:JournalName>
    <b:Pages>169</b:Pages>
    <b:Author>
      <b:Author>
        <b:NameList>
          <b:Person>
            <b:Last>Simpson</b:Last>
            <b:First>Kevin</b:First>
          </b:Person>
        </b:NameList>
      </b:Author>
    </b:Author>
    <b:RefOrder>7</b:RefOrder>
  </b:Source>
  <b:Source>
    <b:Tag>Hol13</b:Tag>
    <b:SourceType>Case</b:SourceType>
    <b:Guid>{EA457991-8677-4CE9-B34F-9000BFF3CDFB}</b:Guid>
    <b:Title>Hollinsworth v. Perry</b:Title>
    <b:Year>2013</b:Year>
    <b:CaseNumber>No. 12-144</b:CaseNumber>
    <b:Court>Supreme Court</b:Court>
    <b:Month>June</b:Month>
    <b:Day>6</b:Day>
    <b:RefOrder>5</b:RefOrder>
  </b:Source>
  <b:Source>
    <b:Tag>Van17</b:Tag>
    <b:SourceType>JournalArticle</b:SourceType>
    <b:Guid>{B837B8B6-66C4-497D-97A1-59268FB1C703}</b:Guid>
    <b:Title>The Appointment clause between politics and law: the American case</b:Title>
    <b:Year>2017</b:Year>
    <b:JournalName>Diritto pubblico comparato ed europeo 19</b:JournalName>
    <b:Pages>833-866</b:Pages>
    <b:Author>
      <b:Author>
        <b:NameList>
          <b:Person>
            <b:Last>Vanoni</b:Last>
            <b:Middle>Pietro</b:Middle>
            <b:First>Luca</b:First>
          </b:Person>
        </b:NameList>
      </b:Author>
    </b:Author>
    <b:RefOrder>4</b:RefOrder>
  </b:Source>
  <b:Source>
    <b:Tag>Bri14</b:Tag>
    <b:SourceType>Book</b:SourceType>
    <b:Guid>{5B7041FC-F38A-4F62-B6E1-B572FA421059}</b:Guid>
    <b:Title>Presidential Power Denied: A New Model of Veto Overrides Using Political Time. In congress and the Presidency</b:Title>
    <b:JournalName>In Congress &amp; the Presidency</b:JournalName>
    <b:Year>2014</b:Year>
    <b:Author>
      <b:Author>
        <b:NameList>
          <b:Person>
            <b:Last>Bridge</b:Last>
            <b:First>David</b:First>
          </b:Person>
        </b:NameList>
      </b:Author>
    </b:Author>
    <b:City>Abingdon-on-Thames</b:City>
    <b:Publisher>Routledge</b:Publisher>
    <b:RefOrder>3</b:RefOrder>
  </b:Source>
  <b:Source>
    <b:Tag>Cro15</b:Tag>
    <b:SourceType>JournalArticle</b:SourceType>
    <b:Guid>{C43E12A7-65BF-492D-94B6-9FD7863C4FDF}</b:Guid>
    <b:Title>Presidential Power Denied: A New Model of Veto Overrides Using Political Time</b:Title>
    <b:Year>2015</b:Year>
    <b:JournalName>Presidential Studies Quaterly</b:JournalName>
    <b:Pages>778-795</b:Pages>
    <b:Author>
      <b:Author>
        <b:NameList>
          <b:Person>
            <b:Last>Crouch</b:Last>
            <b:First>Jeffrey</b:First>
          </b:Person>
        </b:NameList>
      </b:Author>
    </b:Author>
    <b:RefOrder>2</b:RefOrder>
  </b:Source>
</b:Sources>
</file>

<file path=customXml/itemProps1.xml><?xml version="1.0" encoding="utf-8"?>
<ds:datastoreItem xmlns:ds="http://schemas.openxmlformats.org/officeDocument/2006/customXml" ds:itemID="{D621752F-E246-44CA-8592-B06FF1343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5</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5</cp:revision>
  <dcterms:created xsi:type="dcterms:W3CDTF">2019-01-15T11:26:00Z</dcterms:created>
  <dcterms:modified xsi:type="dcterms:W3CDTF">2019-01-15T15:13:00Z</dcterms:modified>
</cp:coreProperties>
</file>